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Sabotage der Ermächtigung</w:t>
      </w:r>
    </w:p>
    <w:p>
      <w:pPr>
        <w:pStyle w:val="Heading2"/>
        <w:spacing w:after="400"/>
      </w:pPr>
      <w:r>
        <w:t xml:space="preserve">Warum das Ablehnen einer geschenkten, aufgabengebundenen Kraft kein Akt der Demut ist, sondern ein Ausstieg aus dem Fluss</w:t>
      </w:r>
    </w:p>
    <w:p>
      <w:pPr>
        <w:pStyle w:val="Heading3"/>
        <w:spacing w:after="200" w:before="200"/>
      </w:pPr>
      <w:r>
        <w:rPr>
          <w:b/>
          <w:bCs/>
        </w:rPr>
        <w:t xml:space="preserve">1. Zwei verschiedene Verhältnisse zur Kraft</w:t>
      </w:r>
    </w:p>
    <w:p>
      <w:r>
        <w:t xml:space="preserve">Es gibt einen wichtigen Unterschied, den man festhalten muss, bevor man über Wunderkräfte (siddhis) im Kontext von bhakti spricht: das Verhältnis des Suchens und das Verhältnis des Empfangens. Rūpa Gosvāmī warnt in seiner klassischen Bhakti-Definition ausdrücklich vor Bhakti, die von einem Begehren nach siddhis begleitet ist (anyābhilāṣitā-śūnyam — frei von jedem anderen Verlangen) — und diese Warnung bleibt richtig. Sie betrifft aber ein Verlangen, das der Handlung vorausgeht: man sucht die Kraft, um sie zu besitzen, zur Schau zu stellen, oder sich selbst durch sie zu erhöhen.</w:t>
      </w:r>
    </w:p>
    <w:p>
      <w:r>
        <w:t xml:space="preserve">Ein anderes Verhältnis liegt vor, wenn eine Fähigkeit ungesucht, im Augenblick der Notwendigkeit, aus der Situation selbst geboren erscheint — nicht kultiviert, nicht gespeichert, nicht zur Schau gestellt, sondern ausschließlich funktional für einen bereits anstehenden Dienst. Diese zweite Form fällt nicht unter Rūpa Gosvāmīs Warnung, weil das Begehren, das er kritisiert, hier gar nicht vorliegt.</w:t>
      </w:r>
    </w:p>
    <w:p>
      <w:pPr>
        <w:pStyle w:val="Heading3"/>
        <w:spacing w:after="200" w:before="300"/>
      </w:pPr>
      <w:r>
        <w:rPr>
          <w:b/>
          <w:bCs/>
        </w:rPr>
        <w:t xml:space="preserve">2. Das geschenkte Auge — Bhagavad Gītā 11.8</w:t>
      </w:r>
    </w:p>
    <w:p>
      <w:pPr>
        <w:spacing w:after="150"/>
      </w:pPr>
      <w:r>
        <w:rPr>
          <w:i/>
          <w:iCs/>
        </w:rPr>
        <w:t xml:space="preserve">na tu māṁ śakyase draṣṭum anenaiva sva-cakṣuṣā
divyaṁ dadāmi te cakṣuḥ paśya me yogam aiśvaram</w:t>
      </w:r>
    </w:p>
    <w:p>
      <w:r>
        <w:t xml:space="preserve">„Mit deinem eigenen Auge kannst du Mich nicht sehen; Ich gebe dir ein göttliches Auge — sieh Meine erhabene Yoga-Macht.“</w:t>
      </w:r>
    </w:p>
    <w:p>
      <w:r>
        <w:t xml:space="preserve">Arjuna sucht das divya-cakṣu nicht. Es wird ihm gegeben, weil die vor ihm liegende Aufgabe — die Viśvarūpa zu erfahren, den bevorstehenden Krieg mit vollem Verständnis zu bestehen — ohne diese Fähigkeit nicht zu bewältigen wäre. Er lehnt das Geschenk nicht ab, prüft es nicht auf Demut hin, zögert nicht aus Sorge, sich dadurch zu erhöhen. Er nimmt es an, weil die Aufgabe es verlangt.</w:t>
      </w:r>
    </w:p>
    <w:p>
      <w:pPr>
        <w:pStyle w:val="Heading3"/>
        <w:spacing w:after="200" w:before="300"/>
      </w:pPr>
      <w:r>
        <w:rPr>
          <w:b/>
          <w:bCs/>
        </w:rPr>
        <w:t xml:space="preserve">3. Der Fluss als einzige Entscheidung</w:t>
      </w:r>
    </w:p>
    <w:p>
      <w:r>
        <w:t xml:space="preserve">Aus gelebter Praxis lässt sich dieser Zusammenhang noch genauer fassen: svarūpa wie auch die Kräfte, mit denen man in einer gegebenen Situation operieren darf, werden nicht als Besitz erfahren, sondern als geschenkt — augenblickserzeugt, aus der jeweiligen Situation und ihren Notwendigkeiten geboren. Damit stellt sich die Frage der Annahme gar nicht mehr als eigene, zweite Entscheidung neben der Entscheidung, im Dienst zu bleiben. Es gibt nur eine Entscheidung: im Fluss zu bleiben oder aus ihm herauszufallen. Kräfte kommen und gehen, je nach Bedarf des Dienstes — sie werden nicht angesammelt, nicht aufbewahrt, nicht zur Grundlage einer Identität außerhalb der jeweiligen Aufgabe gemacht.</w:t>
      </w:r>
    </w:p>
    <w:p>
      <w:r>
        <w:t xml:space="preserve">Das ist zugleich die Sicherung gegen genau den Missbrauch, vor dem Rūpa Gosvāmī warnt: Eine Kraft, die nicht gespeichert werden kann, weil sie mit der Aufgabe erscheint und mit ihr wieder verschwindet, lässt sich nicht zur Machtquelle außerhalb des Dienstes umfunktionieren. Der Schutz liegt nicht in der Ablehnung der Kraft, sondern in ihrer strukturellen Nicht-Besitzbarkeit.</w:t>
      </w:r>
    </w:p>
    <w:p>
      <w:pPr>
        <w:pStyle w:val="Heading3"/>
        <w:spacing w:after="200" w:before="300"/>
      </w:pPr>
      <w:r>
        <w:rPr>
          <w:b/>
          <w:bCs/>
        </w:rPr>
        <w:t xml:space="preserve">4. Warum die Ablehnung dann Sabotage ist</w:t>
      </w:r>
    </w:p>
    <w:p>
      <w:r>
        <w:t xml:space="preserve">Wer im Fluss bleiben will, hat die Frage nach der Kraft damit bereits mitentschieden — Zögern oder Ablehnen ist kein separater Akt der Demut, sondern ein Ausstieg aus der Bewegung selbst. Anders als beim Begehren einer Kraft (das die eigene Ich-Bezogenheit nährt) verhindert die Ablehnung einer geschenkten, aufgabengebundenen Kraft nicht die eigene Erhöhung, sondern den Dienst, der ohne sie nicht getan werden kann. Der Schaden trifft damit nicht in erster Linie den Ablehnenden, sondern die Handlung, auf die andere angewiesen sind. Das ist der Kern des Vorwurfs der Sabotage: nicht Stolz auf die eigene Bescheidenheit, sondern die faktische Verhinderung eines notwendigen Dienstes durch Zögern an der falschen Stelle.</w:t>
      </w:r>
    </w:p>
    <w:p>
      <w:pPr>
        <w:pStyle w:val="Heading3"/>
        <w:spacing w:after="200" w:before="300"/>
      </w:pPr>
      <w:r>
        <w:rPr>
          <w:b/>
          <w:bCs/>
        </w:rPr>
        <w:t xml:space="preserve">5. Die Grenze des Arguments</w:t>
      </w:r>
    </w:p>
    <w:p>
      <w:r>
        <w:t xml:space="preserve">Damit dieser Punkt nicht selbst zur Ausrede wird — zu einem Vorwand, jedes eigene Wunschdenken im Nachhinein als „geschenkt und notwendig“ umzudeuten —, gilt dasselbe Wirksamkeitskriterium, das an anderer Stelle dieses Buches auf Institutionen und Regelkreise angewendet wird, auch hier: Nicht das Gefühl der Notwendigkeit entscheidet, sondern ob der Dienst durch die angenommene Fähigkeit tatsächlich, nachweisbar geschieht — oder eben nicht. Und ein zweites Merkmal grenzt das echte Geschehen vom Missbrauch ab: die Nicht-Speicherbarkeit. Eine Kraft, die bleibt, gesammelt, kultiviert, zur Schau gestellt oder außerhalb des jeweiligen Diensts eingesetzt wird, hat den Bereich verlassen, den dieser Text beschreibt, und fällt zurück in das Begehren, vor dem Rūpa Gosvāmī zu Recht warnt.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2026-07-21T12:10:10.108Z</dcterms:created>
  <dcterms:modified xsi:type="dcterms:W3CDTF">2026-07-21T12:10:10.121Z</dcterms:modified>
</cp:coreProperties>
</file>

<file path=docProps/custom.xml><?xml version="1.0" encoding="utf-8"?>
<Properties xmlns="http://schemas.openxmlformats.org/officeDocument/2006/custom-properties" xmlns:vt="http://schemas.openxmlformats.org/officeDocument/2006/docPropsVTypes"/>
</file>