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Motiv-Ehrlichkeit als Regelkreis-Bedingung</w:t>
      </w:r>
    </w:p>
    <w:p>
      <w:pPr>
        <w:pStyle w:val="Heading2"/>
        <w:spacing w:after="400"/>
      </w:pPr>
      <w:r>
        <w:t xml:space="preserve">Von der Guṇa-Bindung zur freien Hingabe</w:t>
      </w:r>
    </w:p>
    <w:p>
      <w:pPr>
        <w:pStyle w:val="Heading3"/>
        <w:spacing w:after="200" w:before="200"/>
      </w:pPr>
      <w:r>
        <w:rPr>
          <w:b/>
          <w:bCs/>
        </w:rPr>
        <w:t xml:space="preserve">1. Das Ausgangsproblem: die uneingestandene Motivlage</w:t>
      </w:r>
    </w:p>
    <w:p>
      <w:r>
        <w:t xml:space="preserve">Es gibt in bhakti-Traditionen eine oft unausgesprochene Erwartung: Wer wirklich fortgeschritten ist, praktiziert motivlos, ohne jedes Verlangen nach Frucht — auch nicht nach Befreiung selbst. Das Problem entsteht nicht durch diese Lehre, sondern durch ihre soziale Verkürzung: Aus einer beschriebenen höchsten Stufe wird eine geforderte Eintrittsbedingung. Wer aus Mangel, aus Leid, aus Sehnsucht nach Ergebnissen kommt — was die meisten Menschen realistischerweise tun —, lernt schnell, dieses Motiv zu verschweigen oder zu überschminken. Die Folge ist keine bewusste Täuschung, sondern etwas Subtileres: eine Praxis, deren erklärter Sollwert (motivlose Liebe) nicht mit ihrem tatsächlichen Istwert (ein waches, meist unausgesprochenes Bedürfnis) übereinstimmt. Ein Regelkreis, der gegen einen falschen, weil unehrlich benannten Sollwert regelt, kann nicht funktionieren — er erzeugt bestenfalls die Simulation von Fortschritt.</w:t>
      </w:r>
    </w:p>
    <w:p>
      <w:pPr>
        <w:pStyle w:val="Heading3"/>
        <w:spacing w:after="200" w:before="300"/>
      </w:pPr>
      <w:r>
        <w:rPr>
          <w:b/>
          <w:bCs/>
        </w:rPr>
        <w:t xml:space="preserve">2. Der Zwang zum Handeln — Bhagavad Gītā 3.5</w:t>
      </w:r>
    </w:p>
    <w:p>
      <w:pPr>
        <w:spacing w:after="150"/>
      </w:pPr>
      <w:r>
        <w:rPr>
          <w:i/>
          <w:iCs/>
        </w:rPr>
        <w:t xml:space="preserve">na hi kaścit kṣaṇam api jātu tiṣṭhaty akarma-kṛt
kāryate hy avaśaḥ karma sarvaḥ prakṛti-jair guṇaiḥ</w:t>
      </w:r>
    </w:p>
    <w:p>
      <w:r>
        <w:t xml:space="preserve">„Niemand kann auch nur einen Augenblick ohne Handeln verharren; jeder wird durch die aus der Prakṛti geborenen Guṇas unweigerlich zum Handeln gezwungen.“</w:t>
      </w:r>
    </w:p>
    <w:p>
      <w:r>
        <w:t xml:space="preserve">Das Schlüsselwort ist avaśaḥ — unfreiwillig, ohnmächtig, ohne eigene Verfügungsgewalt. Handeln ist hier keine Option unter anderen, die man durch Willensakt ablehnen könnte. Bereits an dieser Stelle wird ein Grundsatz gesetzt, der jede spätere Diskussion über „motivfreie“ Praxis relativiert: Der Mensch handelt nicht, weil er es will, sondern weil seine Guṇa-Konstitution ihn dazu zwingt.</w:t>
      </w:r>
    </w:p>
    <w:p>
      <w:pPr>
        <w:pStyle w:val="Heading3"/>
        <w:spacing w:after="200" w:before="300"/>
      </w:pPr>
      <w:r>
        <w:rPr>
          <w:b/>
          <w:bCs/>
        </w:rPr>
        <w:t xml:space="preserve">3. Der Zwang zur eigenen Natur — Bhagavad Gītā 3.33</w:t>
      </w:r>
    </w:p>
    <w:p>
      <w:pPr>
        <w:spacing w:after="150"/>
      </w:pPr>
      <w:r>
        <w:rPr>
          <w:i/>
          <w:iCs/>
        </w:rPr>
        <w:t xml:space="preserve">sadṛśaṁ ceṣṭate svasyāḥ prakṛter jñānavān api
prakṛtiṁ yānti bhūtāni nigrahaḥ kiṁ kariṣyati</w:t>
      </w:r>
    </w:p>
    <w:p>
      <w:r>
        <w:t xml:space="preserve">„Selbst der Wissende handelt gemäß seiner eigenen Natur; alle Wesen folgen ihrer Prakṛti — was soll Unterdrückung da ausrichten?“</w:t>
      </w:r>
    </w:p>
    <w:p>
      <w:r>
        <w:t xml:space="preserve">Dieser Vers verschärft 3.5 auf entscheidende Weise: Es geht nicht mehr nur um die Unausweichlichkeit des Handelns überhaupt, sondern um die Unausweichlichkeit der eigenen, individuellen Natur innerhalb dieses Handelns. Die rhetorische Frage „nigrahaḥ kiṁ kariṣyati“ — was soll Unterdrückung ausrichten — markiert die Vergeblichkeit jedes Versuchs, sich per Willensakt oder aus Prestige-Gründen über die eigene tatsächliche Guṇa-Lage hinwegzusetzen. Wer eine Motivstufe vortäuscht, die er nicht innehat, ändert damit nicht sein tatsächliches Handeln — er ändert nur dessen Beschreibung.</w:t>
      </w:r>
    </w:p>
    <w:p>
      <w:pPr>
        <w:pStyle w:val="Heading3"/>
        <w:spacing w:after="200" w:before="300"/>
      </w:pPr>
      <w:r>
        <w:rPr>
          <w:b/>
          <w:bCs/>
        </w:rPr>
        <w:t xml:space="preserve">4. Die Zuspitzung auf den Einzelfall — Bhagavad Gītā 18.59</w:t>
      </w:r>
    </w:p>
    <w:p>
      <w:pPr>
        <w:spacing w:after="150"/>
      </w:pPr>
      <w:r>
        <w:rPr>
          <w:i/>
          <w:iCs/>
        </w:rPr>
        <w:t xml:space="preserve">yad ahaṅkāram āśritya na yotsya iti manyase
mithyaiṣa vyavasāyas te prakṛtis tvāṁ niyokṣyati</w:t>
      </w:r>
    </w:p>
    <w:p>
      <w:r>
        <w:t xml:space="preserve">„Wenn du, aus falschem Ego heraus, denkst ‚ich werde nicht kämpfen‘, so ist dieser Entschluss vergeblich — deine eigene Natur wird dich zum Kämpfen zwingen.“</w:t>
      </w:r>
    </w:p>
    <w:p>
      <w:r>
        <w:t xml:space="preserve">Was in 3.5 und 3.33 als allgemeiner Grundsatz formuliert wurde, wird hier an Arjuna selbst exemplifiziert: Sein Fluchtversuch aus der eigenen kṣatriya-Natur wird von Kṛṣṇa nicht als moralisches, sondern als kategoriales Versagen entlarvt — es ist schlicht nicht möglich, dauerhaft gegen die eigene Konstitution zu handeln. Übertragen auf die Motivfrage der bhakti: Wer aus arthārthī-Lage (siehe unten) heraus ahaitukī-bhakti spielt, wird von seiner eigenen tatsächlichen Bedürftigkeit so oder so eingeholt.</w:t>
      </w:r>
    </w:p>
    <w:p>
      <w:pPr>
        <w:pStyle w:val="Heading3"/>
        <w:spacing w:after="200" w:before="300"/>
      </w:pPr>
      <w:r>
        <w:rPr>
          <w:b/>
          <w:bCs/>
        </w:rPr>
        <w:t xml:space="preserve">5. Die vier ehrlichen Motive — Bhagavad Gītā 7.16</w:t>
      </w:r>
    </w:p>
    <w:p>
      <w:pPr>
        <w:spacing w:after="150"/>
      </w:pPr>
      <w:r>
        <w:rPr>
          <w:i/>
          <w:iCs/>
        </w:rPr>
        <w:t xml:space="preserve">catur-vidhā bhajante māṁ janāḥ su-kṛtino 'rjuna
ārto jijñāsur arthārthī jñānī ca bharatarṣabha</w:t>
      </w:r>
    </w:p>
    <w:p>
      <w:r>
        <w:t xml:space="preserve">„Vier Arten frommer Menschen wenden sich Mir zu, Arjuna: der Leidende (ārta), der Wissbegierige (jijñāsu), der nach Gewinn Strebende (arthārthī) und der Weise (jñānī).“</w:t>
      </w:r>
    </w:p>
    <w:p>
      <w:r>
        <w:t xml:space="preserve">Entscheidend ist, dass alle vier Kategorien — einschließlich arthārthī, des offen materiell oder ergebnisorientiert Strebenden — als su-kṛtinaḥ, als verdienstvoll, eingestuft werden. Es gibt keine fünfte, verborgene Bedingung, die lautet: „aber bitte ohne erkennbares Motiv“. Die Schrift selbst sieht in der ehrlich benannten Bedürftigkeit keinen Makel, sondern einen legitimen Ausgangspunkt. Die spätere Einstufung der motivlosen Hingabe (ahaitukī bhakti) als höchste Form — etwa bei Rūpa Gosvāmī, der nach Frucht verlangende Bhakti als „gemischt“ (miśra) einstuft — widerspricht dem nicht: Sie beschreibt eine mögliche Reifung, keine Startvoraussetzung.</w:t>
      </w:r>
    </w:p>
    <w:p>
      <w:pPr>
        <w:pStyle w:val="Heading3"/>
        <w:spacing w:after="200" w:before="300"/>
      </w:pPr>
      <w:r>
        <w:rPr>
          <w:b/>
          <w:bCs/>
        </w:rPr>
        <w:t xml:space="preserve">6. Der eigene Pfad — Bhagavad Gītā 18.47</w:t>
      </w:r>
    </w:p>
    <w:p>
      <w:pPr>
        <w:spacing w:after="150"/>
      </w:pPr>
      <w:r>
        <w:rPr>
          <w:i/>
          <w:iCs/>
        </w:rPr>
        <w:t xml:space="preserve">śreyān sva-dharmo viguṇaḥ para-dharmāt sv-anuṣṭhitāt</w:t>
      </w:r>
    </w:p>
    <w:p>
      <w:r>
        <w:t xml:space="preserve">„Besser die eigene Pflicht, unvollkommen ausgeführt, als die fremde Pflicht, gut ausgeführt.“</w:t>
      </w:r>
    </w:p>
    <w:p>
      <w:r>
        <w:t xml:space="preserve">Übertragen auf die Motivfrage: Der ehrlich praktizierende arthārthī, der von seinem tatsächlichen Zustand aus beginnt, folgt seinem sva-dharma. Der arthārthī, der sich als jñānī ausgibt, praktiziert para-dharma — die Rolle eines fremden, nicht erreichten Standes. Nach 18.47 ist Ersteres dem Zweiten vorzuziehen, selbst wenn es „unvollkommener“ aussieht.</w:t>
      </w:r>
    </w:p>
    <w:p>
      <w:pPr>
        <w:pStyle w:val="Heading3"/>
        <w:spacing w:after="200" w:before="300"/>
      </w:pPr>
      <w:r>
        <w:rPr>
          <w:b/>
          <w:bCs/>
        </w:rPr>
        <w:t xml:space="preserve">7. Synthese: das Wirksamkeitskriterium als Motivtest</w:t>
      </w:r>
    </w:p>
    <w:p>
      <w:r>
        <w:t xml:space="preserve">Damit ergibt sich eine geschlossene Kette: Handeln ist unausweichlich (3.5), es folgt zwingend der eigenen Guṇa-Natur (3.33), auch gegen den eigenen Willen (18.59). Die Schrift selbst benennt die daraus folgenden ehrlichen Ausgangsmotive (7.16) und fordert, von diesem tatsächlichen Stand aus zu handeln, statt einen fremden zu imitieren (18.47). Verstellung ist demnach nicht nur unredlich, sondern im strengen Sinn der Gītā aussichtslos — man handelt ohnehin gemäß der eigenen Konstitution, die Verstellung ändert nur deren Beschreibung, nicht die Sache selbst.</w:t>
      </w:r>
    </w:p>
    <w:p>
      <w:r>
        <w:t xml:space="preserve">Ein praktischer Prüfstein für die Ehrlichkeit eines benannten Bedürfnisses liegt in seiner Erfüllung selbst: Ein eingebildetes Bedürfnis erzeugt bei Erfüllung keine Resonanz — der Regelkreis regelt auf einen falschen Sollwert, es bleibt aus, was man den „großen Knall“ nennen könnte, das spürbare Einrasten von Ist- und Sollwert. Ein echtes Bedürfnis erzeugt dieses Einrasten. Dieser Test ist selbst kein theologisches, sondern ein kybernetisches Kriterium — dieselbe Wirksamkeitslogik, die an anderer Stelle dieses Buches auf Institutionen und Regelkreise angewendet wird, hier auf die eigene Motivforschung gewendet.</w:t>
      </w:r>
    </w:p>
    <w:p>
      <w:pPr>
        <w:pStyle w:val="Heading3"/>
        <w:spacing w:after="200" w:before="300"/>
      </w:pPr>
      <w:r>
        <w:rPr>
          <w:b/>
          <w:bCs/>
        </w:rPr>
        <w:t xml:space="preserve">8. Einordnung: ein weiterer Fall von Nicht-Nachregeln</w:t>
      </w:r>
    </w:p>
    <w:p>
      <w:r>
        <w:t xml:space="preserve">Die uneingestandene Motivlage lässt sich als eigener, grundlegender Fall in die Genealogie der Handlungsunfähigkeit einordnen: Anders als äußere Verhinderung ist sie selbst erzeugt — durch die soziale oder theologische Abwertung ehrlicher, ergebnisorientierter Motive zugunsten einer vorgetäuschten Motivlosigkeit. Das Ergebnis ist ein Regelkreis, der nicht durch fehlende Rückkopplung von außen blockiert wird, sondern durch die Verschleierung des eigenen Sollwerts von innen — eine Blockade, die sich, in Sartres Begriff, als mauvaise foi beschreiben lässt: kein bewusster Selbstbetrug, sondern eine Flucht vor der eigenen, unbequemen Bedürftigkeit in eine Rolle, die diese Flucht selbst verdeckt.</w:t>
      </w:r>
    </w:p>
    <w:p>
      <w:r>
        <w:t xml:space="preserve">Die Alternative, die die Gītā selbst anbietet, ist denkbar unkompliziert: Wer Erleuchtung will, strebe nach Erleuchtung. Wer Trost will, suche Trost. Wer Antworten will, suche Antworten — und all das, mit Kṛṣṇas eigener Zusage, offiziell, in aller Öffentlichkeit vor Gott selbst. Die Reifung zur motivlosen Liebe, falls sie eintritt, ist dann eine mögliche Frucht dieses ehrlichen Anfangs, keine Bedingung für seine Legitimität.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2026-07-21T11:32:21.726Z</dcterms:created>
  <dcterms:modified xsi:type="dcterms:W3CDTF">2026-07-21T11:32:21.741Z</dcterms:modified>
</cp:coreProperties>
</file>

<file path=docProps/custom.xml><?xml version="1.0" encoding="utf-8"?>
<Properties xmlns="http://schemas.openxmlformats.org/officeDocument/2006/custom-properties" xmlns:vt="http://schemas.openxmlformats.org/officeDocument/2006/docPropsVTypes"/>
</file>