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jc w:val="left"/>
      </w:pPr>
      <w:r>
        <w:t xml:space="preserve">Der größte Diener</w:t>
      </w:r>
    </w:p>
    <w:p>
      <w:pPr>
        <w:spacing w:after="400"/>
      </w:pPr>
      <w:r>
        <w:rPr>
          <w:i/>
          <w:iCs/>
          <w:color w:val="444444"/>
          <w:sz w:val="26"/>
          <w:szCs w:val="26"/>
        </w:rPr>
        <w:t xml:space="preserve">Über den fatalen Irrtum, Steigerung als Herrschaft zu lesen</w:t>
      </w:r>
    </w:p>
    <w:p>
      <w:pPr>
        <w:pStyle w:val="Heading1"/>
        <w:spacing w:after="160" w:before="360"/>
      </w:pPr>
      <w:r>
        <w:t xml:space="preserve">I. Die Karikatur</w:t>
      </w:r>
    </w:p>
    <w:p>
      <w:pPr>
        <w:spacing w:after="200" w:line="300"/>
        <w:jc w:val="both"/>
      </w:pPr>
      <w:r>
        <w:rPr>
          <w:i w:val="false"/>
          <w:iCs w:val="false"/>
        </w:rPr>
        <w:t xml:space="preserve">Es gibt eine Lesart Krishnas, die man in mittelmäßiger Predigt immer wieder antrifft: Krishna als autarker Autokrat. Der Höchste, dem nichts fehlt, der niemanden braucht, dem alle Beziehung nur äußerlich, gnädig hinzugefügt bleibt – ein souveräner Herrscher, dessen Liebe im Grunde ein Almosen ist, weil er, streng genommen, keines der Wesen bräuchte, denen er sie zuwendet. Diese Lesart beruft sich auf eine reale Kategorie der Tradition, aiśvarya, die Fülle der Macht, des Wissens, der Unabhängigkeit – und macht daraus eine vollständige Anthropologie Gottes, als gäbe es keine zweite Kategorie daneben.</w:t>
      </w:r>
    </w:p>
    <w:p>
      <w:pPr>
        <w:spacing w:after="200" w:line="300"/>
        <w:jc w:val="both"/>
      </w:pPr>
      <w:r>
        <w:rPr>
          <w:i w:val="false"/>
          <w:iCs w:val="false"/>
        </w:rPr>
        <w:t xml:space="preserve">Der Fehler beginnt nicht bei falschen Prämissen, sondern bei einer falschen Vollständigkeitsannahme: aiśvarya wird stillschweigend zur ganzen Wahrheit erklärt, obwohl die Tradition selbst eine zweite, qualitativ andere Beziehungsebene kennt – mādhurya, die Intimität Vrindavans, in der Ehrfurcht ausdrücklich zur Barriere erklärt wird, nicht zur Bedingung. Dass es diese zweite Kategorie überhaupt braucht, ist bereits das strukturelle Argument gegen die Autarkie-These: Wäre Autarkie die ganze Wahrheit, bräuchte man mādhurya nicht.</w:t>
      </w:r>
    </w:p>
    <w:p>
      <w:pPr>
        <w:pStyle w:val="Heading1"/>
        <w:spacing w:after="160" w:before="360"/>
      </w:pPr>
      <w:r>
        <w:t xml:space="preserve">II. Die erste Gegenrede: das Feminine als Wesenszug</w:t>
      </w:r>
    </w:p>
    <w:p>
      <w:pPr>
        <w:spacing w:after="200" w:line="300"/>
        <w:jc w:val="both"/>
      </w:pPr>
      <w:r>
        <w:rPr>
          <w:i w:val="false"/>
          <w:iCs w:val="false"/>
        </w:rPr>
        <w:t xml:space="preserve">Der Autokrat-Karikatur widerspricht schon der Text, aus dem sie sich zu speisen behauptet. In der vibhūti-Aufzählung der Bhagavad-Gītā (10.34) identifiziert sich der Sprecher „unter den Frauen“ mit kīrti, śrī, vāk, smṛti, medhā, dhṛti, kṣamā – Ruhm, Glück, Rede, Erinnerung, Intelligenz, Standhaftigkeit, Geduld. Diese Größen sind im Sanskrit nicht bloß abstrakte Substantive, sondern traditionell personifiziert und weiblich gedacht. Entscheidend ist die Grammatik der Aussage: Krishna sagt nicht, er besitze diese Eigenschaften – er sagt, er sei sie, unter den Frauen.</w:t>
      </w:r>
    </w:p>
    <w:p>
      <w:pPr>
        <w:spacing w:after="200" w:line="300"/>
        <w:jc w:val="both"/>
      </w:pPr>
      <w:r>
        <w:rPr>
          <w:i w:val="false"/>
          <w:iCs w:val="false"/>
        </w:rPr>
        <w:t xml:space="preserve">Das untergräbt die Autokrat-Karikatur an der Wurzel, denn sie setzt unausgesprochen ein maskulines Selbst voraus, dem das Feminine äußerlich, ergänzend, dienend gegenübersteht. Der Vers sagt das Gegenteil: das Feminine gehört zur Selbstidentität, nicht zum Besitzstand.</w:t>
      </w:r>
    </w:p>
    <w:p>
      <w:pPr>
        <w:pStyle w:val="Heading1"/>
        <w:spacing w:after="160" w:before="360"/>
      </w:pPr>
      <w:r>
        <w:t xml:space="preserve">III. Die zweite Gegenrede: Selbstgenuss durch das Andere</w:t>
      </w:r>
    </w:p>
    <w:p>
      <w:pPr>
        <w:spacing w:after="200" w:line="300"/>
        <w:jc w:val="both"/>
      </w:pPr>
      <w:r>
        <w:rPr>
          <w:i w:val="false"/>
          <w:iCs w:val="false"/>
        </w:rPr>
        <w:t xml:space="preserve">Stärker noch ist ein zweiter, unbequemerer Befund. Die Gaudīya-Tradition – am deutlichsten bei Kṛṣṇadāsa Kavirāja – lehrt, dass Krishna zwar ānanda besitzt, sie aber nicht schmecken (āsvādana) kann, ohne die Position Rādhās einzunehmen. Das ist die theologische Begründung für das Erscheinen Caitanyas: rādhā-bhāva-dyuti-suvalitam, Krishna, der Rādhās Stimmung und Glanz annimmt, um seine eigene Süße zu kosten – weil er sie aus sich selbst heraus nicht kosten kann.</w:t>
      </w:r>
    </w:p>
    <w:p>
      <w:pPr>
        <w:spacing w:after="200" w:line="300"/>
        <w:jc w:val="both"/>
      </w:pPr>
      <w:r>
        <w:rPr>
          <w:i w:val="false"/>
          <w:iCs w:val="false"/>
        </w:rPr>
        <w:t xml:space="preserve">Das ist keine fromme Nebensächlichkeit, sondern eine explizite Aussage über eine Unzulänglichkeit im Selbstbezug des Höchsten: ohne das Andere kein Selbstgenuss. Damit fällt die Prämisse der Autokrat-Lesart in sich zusammen – nicht graduell, sondern grundsätzlich. Selbst die höchste Person ist nicht in dem Sinn autark, den ihr die aiśvarya-Rhetorik zuschreibt. Fülle, die sich nicht spiegeln kann, ist offenbar keine vollständige Fülle.</w:t>
      </w:r>
    </w:p>
    <w:p>
      <w:pPr>
        <w:pStyle w:val="Heading1"/>
        <w:spacing w:after="160" w:before="360"/>
      </w:pPr>
      <w:r>
        <w:t xml:space="preserve">IV. Die Ganzheit Śrī-Śrī Rādhā-Krishna und die Grenze der Sprache</w:t>
      </w:r>
    </w:p>
    <w:p>
      <w:pPr>
        <w:spacing w:after="200" w:line="300"/>
        <w:jc w:val="both"/>
      </w:pPr>
      <w:r>
        <w:rPr>
          <w:i w:val="false"/>
          <w:iCs w:val="false"/>
        </w:rPr>
        <w:t xml:space="preserve">Wenn hlādinī-śakti – Rādhā – nicht Krishnas Gegenüber ist, sondern seine eigene, personifizierte Freude-Kraft (acintya-bheda-abheda: nicht-getrennt und doch unterscheidbar von śaktimān), dann ist die Frage, ob der Sprecher der Gītā „er selbst“ oder die Ganzheit Rādhā-Krishna meint, vielleicht falsch gestellt. Es gibt kein „Krishna ohne Rādhā“, von dem aus gesprochen werden könnte – auch dort nicht, wo die Erzählung ihn ohne sie auf dem Schlachtfeld zeigt.</w:t>
      </w:r>
    </w:p>
    <w:p>
      <w:pPr>
        <w:spacing w:after="200" w:line="300"/>
        <w:jc w:val="both"/>
      </w:pPr>
      <w:r>
        <w:rPr>
          <w:i w:val="false"/>
          <w:iCs w:val="false"/>
        </w:rPr>
        <w:t xml:space="preserve">Das lässt sich philosophisch kaum sauber fassen, und das ist kein Zufall. Aham ist eine zählende Form, sie setzt einen abgrenzbaren Sprecher voraus. Was hier gemeint ist, geht dieser Zählung voraus: nicht zwei, die eins werden, sondern eins, das sich als zwei zeigt, um rasa zu ermöglichen. Für so etwas hat kaum eine Sprache eine Personalform. Das Wort, das die Tradition dafür bereithält – acintya, unvorstellbar – ist eher Eingeständnis als Lösung. Aber man muss die Ganzheit nicht in Begriffe fassen können, um die Karikatur zu widerlegen, die aus ihrer Verleugnung entsteht. Es genügt zu zeigen, dass es keine Position gibt, an der Krishna ohne Rādhā auch nur sich selbst schmecken könnte.</w:t>
      </w:r>
    </w:p>
    <w:p>
      <w:pPr>
        <w:pStyle w:val="Heading1"/>
        <w:spacing w:after="160" w:before="360"/>
      </w:pPr>
      <w:r>
        <w:t xml:space="preserve">V. Gott als größter Diener</w:t>
      </w:r>
    </w:p>
    <w:p>
      <w:pPr>
        <w:spacing w:after="200" w:line="300"/>
        <w:jc w:val="both"/>
      </w:pPr>
      <w:r>
        <w:rPr>
          <w:i w:val="false"/>
          <w:iCs w:val="false"/>
        </w:rPr>
        <w:t xml:space="preserve">Aus diesen beiden Gegenreden folgt eine radikale Umkehrung: Dienen ist nicht etwas, das Gott aus Großmut auch noch könnte – es ist die höchste Modalität seines Seins. Caitanya selbst versteht seinen eigenen Dienst nicht als Herabstufung, sondern als die süßeste aller Positionen. In der rasa-Hierarchie ist dāsya nicht die untere Stufe, die überwunden wird, sondern die tragende Basis, auf der die höheren rasas – sakhya, vātsalya, mādhurya – überhaupt stehen können.</w:t>
      </w:r>
    </w:p>
    <w:p>
      <w:pPr>
        <w:spacing w:after="200" w:line="300"/>
        <w:jc w:val="both"/>
      </w:pPr>
      <w:r>
        <w:rPr>
          <w:i w:val="false"/>
          <w:iCs w:val="false"/>
        </w:rPr>
        <w:t xml:space="preserve">Hier zeigt sich der Unterschied zwischen aiśvarya- und mādhurya-Theologie besonders klar. Aiśvarya-Theologie kann „Gott dient“ nur als Paradox oder als Herablassung denken – der König, der sich zum Diener macht, bleibt in Wahrheit König, es ist līlā, nicht Wesen. Mādhurya-Theologie kann es wörtlich nehmen: In Vraja gibt es keine Ehrfurchtsbarriere, die Dienst als Erniedrigung markieren würde, weil Hierarchie dort nicht die primäre Kategorie ist. Der Krishna, der die Füße der Gopis massiert, seinen Freunden das Essen bringt, sich necken und schlagen lässt, ist nicht „Gott, der sich herablässt“ – es ist die konsequenteste Widerlegung des Autokraten, die die Tradition kennt.</w:t>
      </w:r>
    </w:p>
    <w:p>
      <w:pPr>
        <w:spacing w:after="200" w:line="300"/>
        <w:jc w:val="both"/>
      </w:pPr>
      <w:r>
        <w:rPr>
          <w:i w:val="false"/>
          <w:iCs w:val="false"/>
        </w:rPr>
        <w:t xml:space="preserve">Wenn Krishna, um sich selbst zu erfahren, die Position Rādhās einnehmen muss, dann ist der größte Diener keine ethische Zutat, sondern ontologische Notwendigkeit. Er kann sein eigenes Sein nicht anders erfahren als im Modus des Sich-Hingebens. Herrschaft und Dienst fallen dann nicht als zwei erstaunlich zusammenpassende Eigenschaften zusammen – es ist eine einzige Bewegung, zweimal benannt.</w:t>
      </w:r>
    </w:p>
    <w:p>
      <w:pPr>
        <w:pStyle w:val="Heading1"/>
        <w:spacing w:after="160" w:before="360"/>
      </w:pPr>
      <w:r>
        <w:t xml:space="preserve">VI. Rasa als Steigerung, nicht als Alternative</w:t>
      </w:r>
    </w:p>
    <w:p>
      <w:pPr>
        <w:spacing w:after="200" w:line="300"/>
        <w:jc w:val="both"/>
      </w:pPr>
      <w:r>
        <w:rPr>
          <w:i w:val="false"/>
          <w:iCs w:val="false"/>
        </w:rPr>
        <w:t xml:space="preserve">Damit ist die eigentliche Struktur berührt, an der die Karikatur ihren zweiten, folgenreicheren Fehler macht. Die fünf mukhya-rasas – śānta, dāsya, sakhya, vātsalya, mādhurya – sind bei Rūpa Gosvāmī kumulativ gebaut, nicht exklusiv. Jede höhere rasa enthält die tieferen; der sthāyibhāva ersetzt sich nicht, er reichert sich an. Śānta – die ruhige, ehrfürchtige Anerkennung dessen, was Krishna ist – bleibt als Fundament bestehen, während dāsya die Aktivität des Dienstes hinzufügt, sakhya die Vertrautheit, vātsalya die elterliche Fürsorge, mādhurya die romantische Intimität.</w:t>
      </w:r>
    </w:p>
    <w:p>
      <w:pPr>
        <w:spacing w:after="200" w:line="300"/>
        <w:jc w:val="both"/>
      </w:pPr>
      <w:r>
        <w:rPr>
          <w:i w:val="false"/>
          <w:iCs w:val="false"/>
        </w:rPr>
        <w:t xml:space="preserve">Ohne śānta gäbe es keinen Boden, auf dem dāsya „Dienst an Gott“ statt bloßer Freundlichkeit gegenüber irgendjemandem sein könnte. Ohne śānta ist mādhurya nicht überlegene Liebe, sondern romantisches Gefühl ohne den Adressaten, dem seine Göttlichkeit fehlt. Dass die Gopis Krishna necken und schlagen, trägt nur, weil śānta im Hintergrund weiß, wen sie da necken. Nimmt man das weg, ist es keine transzendierte Ehrfurcht mehr, sondern schlichte Respektlosigkeit.</w:t>
      </w:r>
    </w:p>
    <w:p>
      <w:pPr>
        <w:pStyle w:val="Heading1"/>
        <w:spacing w:after="160" w:before="360"/>
      </w:pPr>
      <w:r>
        <w:t xml:space="preserve">VII. Der fatale Kategorienfehler</w:t>
      </w:r>
    </w:p>
    <w:p>
      <w:pPr>
        <w:spacing w:after="200" w:line="300"/>
        <w:jc w:val="both"/>
      </w:pPr>
      <w:r>
        <w:rPr>
          <w:i w:val="false"/>
          <w:iCs w:val="false"/>
        </w:rPr>
        <w:t xml:space="preserve">Genau hier liegt der Irrtum, um den dieser ganze Gedankengang kreist: Steigerung wird zu Herrschaft umgedeutet. Beide Begriffe zeigen in entgegengesetzte Richtungen.</w:t>
      </w:r>
    </w:p>
    <w:p>
      <w:pPr>
        <w:spacing w:after="200" w:before="100" w:line="300"/>
        <w:ind w:left="576"/>
        <w:jc w:val="both"/>
      </w:pPr>
      <w:r>
        <w:rPr>
          <w:i/>
          <w:iCs/>
        </w:rPr>
        <w:t xml:space="preserve">Steigerung ist eine Kategorie der Intimität: Je höher der rasa, desto weniger Distanz, desto mehr gegenseitiges Ausgeliefertsein. Krishna wird verletzlicher, nicht mächtiger, je weiter man von śānta zu mādhurya geht – von Ehrfurcht zu Necken, von Distanz zu Schlägen, von Untertan zu Geliebtem, der Angst hat, verlassen zu werden. Das ist eine Entmachtungsbewegung.</w:t>
      </w:r>
    </w:p>
    <w:p>
      <w:pPr>
        <w:spacing w:after="200" w:before="100" w:line="300"/>
        <w:ind w:left="576"/>
        <w:jc w:val="both"/>
      </w:pPr>
      <w:r>
        <w:rPr>
          <w:i/>
          <w:iCs/>
        </w:rPr>
        <w:t xml:space="preserve">Herrschaft ist eine Kategorie der Distanz: Mehr Rang heißt mehr Abstand, mehr Verfügungsgewalt, weniger Angreifbarkeit.</w:t>
      </w:r>
    </w:p>
    <w:p>
      <w:pPr>
        <w:spacing w:after="200" w:line="300"/>
        <w:jc w:val="both"/>
      </w:pPr>
      <w:r>
        <w:rPr>
          <w:i w:val="false"/>
          <w:iCs w:val="false"/>
        </w:rPr>
        <w:t xml:space="preserve">Wer Steigerung als Herrschaftslogik liest, dreht die Richtung des Vektors um. Er nimmt eine Bewegung, die auf Verletzlichkeit zuläuft, und liest sie als Bewegung, die auf mehr Macht zuläuft – vermutlich, weil „höher“ im eigenen Denken automatisch mit „mächtiger, unantastbarer“ übersetzt wird, weil das die einzige Hierarchie ist, die man kennt. Es ist derselbe Reflex wie beim Autokraten-Bild: Man hat ein Herrschaftsschema im Kopf und presst jede Struktur, die einem begegnet, in dieses Schema – auch wenn die Struktur explizit das Gegenteil behauptet.</w:t>
      </w:r>
    </w:p>
    <w:p>
      <w:pPr>
        <w:spacing w:after="200" w:line="300"/>
        <w:jc w:val="both"/>
      </w:pPr>
      <w:r>
        <w:rPr>
          <w:i w:val="false"/>
          <w:iCs w:val="false"/>
        </w:rPr>
        <w:t xml:space="preserve">Das macht den Fehler fatal, in einem sehr genauen Sinn: Er verwandelt eine Theologie der zunehmenden Nähe in eine Rechtfertigung zunehmender Ferne. Aus „Gott lässt sich immer mehr berühren“ wird „wer mehr rasa hat, steht über anderen“. Diese Konvertierung bleibt nicht theoretisch – sie wird zur sozialen Struktur, sobald jemand den eigenen rasa als Anspruch auf Autorität statt als Beschreibung größerer Hingabefähigkeit verwendet: spirituelle Rangordnungen unter Menschen, Guru-Kult, Statuslogik, wo eigentlich von Verwundbarkeit die Rede sein sollte.</w:t>
      </w:r>
    </w:p>
    <w:p>
      <w:pPr>
        <w:pStyle w:val="Heading1"/>
        <w:spacing w:after="160" w:before="360"/>
      </w:pPr>
      <w:r>
        <w:t xml:space="preserve">VIII. Schluss: Einschluss statt Verdrängung</w:t>
      </w:r>
    </w:p>
    <w:p>
      <w:pPr>
        <w:spacing w:after="200" w:line="300"/>
        <w:jc w:val="both"/>
      </w:pPr>
      <w:r>
        <w:rPr>
          <w:i w:val="false"/>
          <w:iCs w:val="false"/>
        </w:rPr>
        <w:t xml:space="preserve">Die Pathologie liegt also nicht in der rasa-Lehre selbst, sondern in ihrer Rückübersetzung in genau die Herrschaftskategorie, die sie eigentlich auflösen sollte. Ein System, das mehr Freiheitsgrade, mehr Feinregulierung, mehr Nähe ermöglicht, wird von denen, die es verwalten, in ein starreres Kontrollsystem zurückgebogen – weil Kontrolle die einzige Sprache ist, die die Verwalter selbst sprechen. Kybernetisch formuliert: Ein Regelkreis höherer Ordnung hebt den niedrigeren nicht auf, er integriert ihn als Subsystem. Hierarchie ohne Verdrängung – jede höhere Stufe ist reicher, nicht richtiger; das Untere wird nicht falsifiziert, sondern eingebettet.</w:t>
      </w:r>
    </w:p>
    <w:p>
      <w:pPr>
        <w:spacing w:after="200" w:line="300"/>
        <w:jc w:val="both"/>
      </w:pPr>
      <w:r>
        <w:rPr>
          <w:i w:val="false"/>
          <w:iCs w:val="false"/>
        </w:rPr>
        <w:t xml:space="preserve">Die Absage an den bitterbösen Autokraten und die Absage an die Herrschaftslogik der Steigerung sind darum ein und dieselbe Bewegung. Beide entstehen aus demselben Fehler: der Unterstellung, dass es am Ende immer um Macht gehen müsse, auch dort, wo eine Tradition ausdrücklich von etwas anderem spricht – von einer Fülle, die sich nur im Anderen erfährt, von einem Dienst, der die höchste, nicht die niedrigste Form der Liebe ist, von einer Steigerung, die nicht mehr Distanz, sondern immer weniger davon bedeutet.</w:t>
      </w:r>
    </w:p>
    <w:p>
      <w:pPr>
        <w:spacing w:after="200" w:line="300"/>
        <w:jc w:val="both"/>
      </w:pPr>
      <w:r>
        <w:rPr>
          <w:i w:val="false"/>
          <w:iCs w:val="false"/>
        </w:rPr>
        <w:t xml:space="preserve">Gott ist der größte Diener des Universums. Wer daraus eine neue Hierarchie der Herrschenden macht, hat den Satz nicht verstanden – er hat ihn genau umgedreht.</w:t>
      </w:r>
    </w:p>
    <w:p>
      <w:pPr>
        <w:pBdr>
          <w:bottom w:val="single" w:color="999999" w:sz="6" w:space="1"/>
        </w:pBdr>
        <w:spacing w:after="240"/>
      </w:pPr>
    </w:p>
    <w:p>
      <w:pPr>
        <w:spacing w:before="120"/>
      </w:pPr>
      <w:r>
        <w:rPr>
          <w:i/>
          <w:iCs/>
          <w:color w:val="666666"/>
        </w:rPr>
        <w:t xml:space="preserve">Schalom.</w:t>
      </w:r>
    </w:p>
    <w:sectPr>
      <w:pgSz w:w="11906" w:h="16838" w:orient="portrait"/>
      <w:pgMar w:top="1134" w:right="1417"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2026-07-19T20:09:36.106Z</dcterms:created>
  <dcterms:modified xsi:type="dcterms:W3CDTF">2026-07-19T20:09:36.118Z</dcterms:modified>
</cp:coreProperties>
</file>

<file path=docProps/custom.xml><?xml version="1.0" encoding="utf-8"?>
<Properties xmlns="http://schemas.openxmlformats.org/officeDocument/2006/custom-properties" xmlns:vt="http://schemas.openxmlformats.org/officeDocument/2006/docPropsVTypes"/>
</file>